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Emmaboda kommunfullmäktige</w:t>
      </w:r>
    </w:p>
    <w:p>
      <w:pPr>
        <w:pStyle w:val="Heading1"/>
      </w:pPr>
      <w:r>
        <w:t xml:space="preserve">Ungdomsverksamhet för ökad trygghet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Emmaboda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trygghetsmätning 2024 visar att 28 % av ungdomar i Emmaboda upplever otrygghet på kvällar. Fritidsverksamhet saknas i flera områden.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Emmaboda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öppna minst två nya fritidsverksamheter i Vissefjärda och Emmaboda centrum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medel avsätts för fältassistenter och sommarjobb för unga.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föreningslivet prioriteras.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trygghetsindex mäts årligen och redovisas för kommunfullmäktige.</w:t>
      </w:r>
    </w:p>
    <w:p>
      <w:pPr>
        <w:spacing w:before="360"/>
      </w:pPr>
    </w:p>
    <w:p>
      <w:r>
        <w:t xml:space="preserve">Emmaboda,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Emmaboda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2026-07-13T23:50:29.300Z</dcterms:created>
  <dcterms:modified xsi:type="dcterms:W3CDTF">2026-07-13T23:50:29.300Z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